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D2" w:rsidRDefault="00394400" w:rsidP="003C434E">
      <w:pPr>
        <w:jc w:val="center"/>
        <w:rPr>
          <w:b/>
          <w:color w:val="0909FF"/>
          <w:sz w:val="28"/>
        </w:rPr>
      </w:pPr>
      <w:r>
        <w:rPr>
          <w:b/>
          <w:color w:val="0909FF"/>
          <w:sz w:val="28"/>
        </w:rPr>
        <w:t xml:space="preserve">Supply Chain Management - </w:t>
      </w:r>
      <w:r w:rsidR="002D5AFE">
        <w:rPr>
          <w:b/>
          <w:color w:val="0909FF"/>
          <w:sz w:val="28"/>
        </w:rPr>
        <w:t>m</w:t>
      </w:r>
      <w:r w:rsidR="003C434E" w:rsidRPr="003C434E">
        <w:rPr>
          <w:b/>
          <w:color w:val="0909FF"/>
          <w:sz w:val="28"/>
        </w:rPr>
        <w:t>iadidas</w:t>
      </w:r>
    </w:p>
    <w:p w:rsidR="00D41A25" w:rsidRPr="00D41A25" w:rsidRDefault="00D41A25" w:rsidP="00394400">
      <w:pPr>
        <w:pStyle w:val="Listenabsatz"/>
        <w:numPr>
          <w:ilvl w:val="0"/>
          <w:numId w:val="2"/>
        </w:numPr>
        <w:ind w:left="357" w:hanging="357"/>
        <w:rPr>
          <w:rFonts w:eastAsia="Times New Roman"/>
          <w:b/>
          <w:color w:val="548DD4" w:themeColor="text2" w:themeTint="99"/>
          <w:lang w:eastAsia="en-GB"/>
        </w:rPr>
      </w:pPr>
      <w:r w:rsidRPr="00D41A25">
        <w:rPr>
          <w:rFonts w:eastAsia="Times New Roman"/>
          <w:b/>
          <w:color w:val="548DD4" w:themeColor="text2" w:themeTint="99"/>
          <w:lang w:eastAsia="en-GB"/>
        </w:rPr>
        <w:t>Geschichte</w:t>
      </w:r>
    </w:p>
    <w:p w:rsidR="00D41A25" w:rsidRPr="00DE201C" w:rsidRDefault="00D41A25" w:rsidP="00D41A25">
      <w:pPr>
        <w:spacing w:line="276" w:lineRule="auto"/>
        <w:rPr>
          <w:rFonts w:eastAsia="Times New Roman"/>
          <w:lang w:eastAsia="en-GB"/>
        </w:rPr>
      </w:pPr>
      <w:r w:rsidRPr="00DE201C">
        <w:rPr>
          <w:rFonts w:eastAsia="Times New Roman"/>
          <w:lang w:eastAsia="en-GB"/>
        </w:rPr>
        <w:t xml:space="preserve">Zu Beginn der 1920er Jahre fertigten die Gebrüder Dassler in der alten Waschküche ihrer Mutter Turnschuhe, die optimal an den Fuß der jeweiligen Sportler angepasst waren. Im Jahre 1928 kamen das erste Mal Adidas-Schuhe bei den Olympischen Spielen in Amsterdam, in der Leichtathletik, zum Einsatz. </w:t>
      </w:r>
    </w:p>
    <w:p w:rsidR="00D41A25" w:rsidRPr="00E71C5B" w:rsidRDefault="00D41A25" w:rsidP="00D41A25">
      <w:pPr>
        <w:spacing w:line="276" w:lineRule="auto"/>
        <w:rPr>
          <w:rFonts w:eastAsia="Times New Roman"/>
          <w:sz w:val="18"/>
          <w:lang w:eastAsia="en-GB"/>
        </w:rPr>
      </w:pPr>
    </w:p>
    <w:p w:rsidR="00D41A25" w:rsidRDefault="00D41A25" w:rsidP="00D41A25">
      <w:pPr>
        <w:spacing w:line="276" w:lineRule="auto"/>
        <w:rPr>
          <w:rFonts w:eastAsia="Times New Roman"/>
          <w:lang w:eastAsia="en-GB"/>
        </w:rPr>
      </w:pPr>
      <w:r w:rsidRPr="00DE201C">
        <w:rPr>
          <w:rFonts w:eastAsia="Times New Roman"/>
          <w:lang w:eastAsia="en-GB"/>
        </w:rPr>
        <w:t xml:space="preserve">Die heutige Adidas AG wurde am 18. August 1949 durch Adolf Dassler gegründet. Beim Namen der Firma handelt es sich um ein </w:t>
      </w:r>
      <w:r w:rsidR="00CF3D82">
        <w:rPr>
          <w:rFonts w:eastAsia="Times New Roman"/>
          <w:lang w:eastAsia="en-GB"/>
        </w:rPr>
        <w:t>Akronym</w:t>
      </w:r>
      <w:r w:rsidRPr="00DE201C">
        <w:rPr>
          <w:rFonts w:eastAsia="Times New Roman"/>
          <w:lang w:eastAsia="en-GB"/>
        </w:rPr>
        <w:t xml:space="preserve">, das sich aus Dasslers Spitznamen </w:t>
      </w:r>
      <w:r w:rsidRPr="00DE201C">
        <w:rPr>
          <w:rFonts w:eastAsia="Times New Roman"/>
          <w:iCs/>
          <w:lang w:eastAsia="en-GB"/>
        </w:rPr>
        <w:t>Adi</w:t>
      </w:r>
      <w:r w:rsidRPr="00DE201C">
        <w:rPr>
          <w:rFonts w:eastAsia="Times New Roman"/>
          <w:lang w:eastAsia="en-GB"/>
        </w:rPr>
        <w:t xml:space="preserve"> und den ersten drei Buchstaben seines Nachnamens zusammensetzt. Adidas kam Mitte der 1980er Jahre in eine wirtschaftliche Schieflage. Das Familienunternehmen musste für familienfremde Investoren geöffnet werden.</w:t>
      </w:r>
    </w:p>
    <w:p w:rsidR="00D41A25" w:rsidRPr="00D41A25" w:rsidRDefault="00D41A25" w:rsidP="00D41A25">
      <w:pPr>
        <w:spacing w:line="276" w:lineRule="auto"/>
        <w:rPr>
          <w:rFonts w:eastAsia="Times New Roman"/>
          <w:sz w:val="10"/>
          <w:lang w:eastAsia="en-GB"/>
        </w:rPr>
      </w:pPr>
    </w:p>
    <w:p w:rsidR="00D41A25" w:rsidRPr="00D41A25" w:rsidRDefault="00D41A25" w:rsidP="00394400">
      <w:pPr>
        <w:pStyle w:val="Listenabsatz"/>
        <w:numPr>
          <w:ilvl w:val="0"/>
          <w:numId w:val="2"/>
        </w:numPr>
        <w:spacing w:line="276" w:lineRule="auto"/>
        <w:ind w:left="357" w:hanging="357"/>
        <w:rPr>
          <w:rFonts w:eastAsia="Times New Roman"/>
          <w:b/>
          <w:bCs/>
          <w:iCs/>
          <w:color w:val="548DD4" w:themeColor="text2" w:themeTint="99"/>
          <w:lang w:eastAsia="en-GB"/>
        </w:rPr>
      </w:pPr>
      <w:r w:rsidRPr="00D41A25">
        <w:rPr>
          <w:rFonts w:eastAsia="Times New Roman"/>
          <w:b/>
          <w:bCs/>
          <w:iCs/>
          <w:color w:val="548DD4" w:themeColor="text2" w:themeTint="99"/>
          <w:lang w:eastAsia="en-GB"/>
        </w:rPr>
        <w:t>Wettbewerber bei Mass Customization in Europa und USA</w:t>
      </w:r>
    </w:p>
    <w:p w:rsidR="00D41A25" w:rsidRPr="00D41A25" w:rsidRDefault="00D41A25" w:rsidP="00D41A25">
      <w:pPr>
        <w:jc w:val="center"/>
        <w:rPr>
          <w:rFonts w:eastAsia="Times New Roman"/>
          <w:sz w:val="6"/>
          <w:lang w:eastAsia="en-GB"/>
        </w:rPr>
      </w:pPr>
    </w:p>
    <w:p w:rsidR="00D41A25" w:rsidRPr="00DE201C" w:rsidRDefault="00D41A25" w:rsidP="00394400">
      <w:pPr>
        <w:spacing w:after="60" w:line="276" w:lineRule="auto"/>
        <w:rPr>
          <w:rFonts w:eastAsia="Times New Roman"/>
          <w:lang w:eastAsia="en-GB"/>
        </w:rPr>
      </w:pPr>
      <w:r w:rsidRPr="00DE201C">
        <w:rPr>
          <w:rFonts w:eastAsia="Times New Roman"/>
          <w:b/>
          <w:bCs/>
          <w:lang w:eastAsia="en-GB"/>
        </w:rPr>
        <w:t>Nike Inc.</w:t>
      </w:r>
      <w:r w:rsidRPr="00DE201C">
        <w:rPr>
          <w:rFonts w:eastAsia="Times New Roman"/>
          <w:lang w:eastAsia="en-GB"/>
        </w:rPr>
        <w:t xml:space="preserve"> </w:t>
      </w:r>
    </w:p>
    <w:p w:rsidR="00D41A25" w:rsidRPr="00DE201C" w:rsidRDefault="00D41A25" w:rsidP="00D41A25">
      <w:pPr>
        <w:spacing w:line="276" w:lineRule="auto"/>
        <w:rPr>
          <w:rFonts w:eastAsia="Times New Roman"/>
          <w:lang w:eastAsia="en-GB"/>
        </w:rPr>
      </w:pPr>
      <w:r w:rsidRPr="00DE201C">
        <w:rPr>
          <w:rFonts w:eastAsia="Times New Roman"/>
          <w:lang w:eastAsia="en-GB"/>
        </w:rPr>
        <w:t>NIKEiD macht es Online-Kunden möglich, die Farbe ihrer Schuhe und einen persönlichen Namen mit bis zu acht Zeichen zu wählen.</w:t>
      </w:r>
    </w:p>
    <w:p w:rsidR="00D41A25" w:rsidRPr="00394400" w:rsidRDefault="00D41A25" w:rsidP="00394400">
      <w:pPr>
        <w:spacing w:before="60" w:after="60" w:line="276" w:lineRule="auto"/>
        <w:rPr>
          <w:rFonts w:eastAsia="Times New Roman"/>
          <w:b/>
          <w:bCs/>
          <w:lang w:eastAsia="en-GB"/>
        </w:rPr>
      </w:pPr>
      <w:r w:rsidRPr="00DE201C">
        <w:rPr>
          <w:rFonts w:eastAsia="Times New Roman"/>
          <w:b/>
          <w:bCs/>
          <w:lang w:eastAsia="en-GB"/>
        </w:rPr>
        <w:t>Reebok International, Ltd.</w:t>
      </w:r>
      <w:r w:rsidRPr="00394400">
        <w:rPr>
          <w:rFonts w:eastAsia="Times New Roman"/>
          <w:b/>
          <w:bCs/>
          <w:lang w:eastAsia="en-GB"/>
        </w:rPr>
        <w:t xml:space="preserve"> </w:t>
      </w:r>
    </w:p>
    <w:p w:rsidR="00D41A25" w:rsidRPr="00DE201C" w:rsidRDefault="00D41A25" w:rsidP="00D41A25">
      <w:pPr>
        <w:spacing w:line="276" w:lineRule="auto"/>
        <w:rPr>
          <w:rFonts w:eastAsia="Times New Roman"/>
          <w:lang w:eastAsia="en-GB"/>
        </w:rPr>
      </w:pPr>
      <w:r w:rsidRPr="00DE201C">
        <w:rPr>
          <w:rFonts w:eastAsia="Times New Roman"/>
          <w:lang w:eastAsia="en-GB"/>
        </w:rPr>
        <w:t xml:space="preserve">Reebok </w:t>
      </w:r>
      <w:r w:rsidR="00394400">
        <w:rPr>
          <w:rFonts w:eastAsia="Times New Roman"/>
          <w:lang w:eastAsia="en-GB"/>
        </w:rPr>
        <w:t>war ohne</w:t>
      </w:r>
      <w:r w:rsidRPr="00DE201C">
        <w:rPr>
          <w:rFonts w:eastAsia="Times New Roman"/>
          <w:lang w:eastAsia="en-GB"/>
        </w:rPr>
        <w:t xml:space="preserve"> eigene Mass Customization Initiative. </w:t>
      </w:r>
      <w:r w:rsidR="00394400">
        <w:rPr>
          <w:rFonts w:eastAsia="Times New Roman"/>
          <w:lang w:eastAsia="en-GB"/>
        </w:rPr>
        <w:t>Fußpolster für das Spitzenmodell wurden vermarktet</w:t>
      </w:r>
      <w:r w:rsidRPr="00DE201C">
        <w:rPr>
          <w:rFonts w:eastAsia="Times New Roman"/>
          <w:lang w:eastAsia="en-GB"/>
        </w:rPr>
        <w:t>, um die ultimative Stoßdämpfung zu erreichen.</w:t>
      </w:r>
    </w:p>
    <w:p w:rsidR="00D41A25" w:rsidRPr="00394400" w:rsidRDefault="00D41A25" w:rsidP="00394400">
      <w:pPr>
        <w:spacing w:before="60" w:after="60" w:line="276" w:lineRule="auto"/>
        <w:rPr>
          <w:rFonts w:eastAsia="Times New Roman"/>
          <w:b/>
          <w:bCs/>
          <w:lang w:eastAsia="en-GB"/>
        </w:rPr>
      </w:pPr>
      <w:r w:rsidRPr="00DE201C">
        <w:rPr>
          <w:rFonts w:eastAsia="Times New Roman"/>
          <w:b/>
          <w:bCs/>
          <w:lang w:eastAsia="en-GB"/>
        </w:rPr>
        <w:t>New Balance Sportschuh, Inc.</w:t>
      </w:r>
      <w:r w:rsidRPr="00394400">
        <w:rPr>
          <w:rFonts w:eastAsia="Times New Roman"/>
          <w:b/>
          <w:bCs/>
          <w:lang w:eastAsia="en-GB"/>
        </w:rPr>
        <w:t xml:space="preserve"> </w:t>
      </w:r>
    </w:p>
    <w:p w:rsidR="00D41A25" w:rsidRPr="00DE201C" w:rsidRDefault="00354A3A" w:rsidP="00D41A25">
      <w:pPr>
        <w:spacing w:line="276" w:lineRule="auto"/>
        <w:rPr>
          <w:rFonts w:eastAsia="Times New Roman"/>
          <w:lang w:eastAsia="en-GB"/>
        </w:rPr>
      </w:pPr>
      <w:r>
        <w:rPr>
          <w:rFonts w:eastAsia="Times New Roman"/>
          <w:lang w:eastAsia="en-GB"/>
        </w:rPr>
        <w:t>E</w:t>
      </w:r>
      <w:r w:rsidR="00D41A25" w:rsidRPr="00DE201C">
        <w:rPr>
          <w:rFonts w:eastAsia="Times New Roman"/>
          <w:lang w:eastAsia="en-GB"/>
        </w:rPr>
        <w:t>rste</w:t>
      </w:r>
      <w:bookmarkStart w:id="0" w:name="_GoBack"/>
      <w:bookmarkEnd w:id="0"/>
      <w:r w:rsidR="00D41A25" w:rsidRPr="00DE201C">
        <w:rPr>
          <w:rFonts w:eastAsia="Times New Roman"/>
          <w:lang w:eastAsia="en-GB"/>
        </w:rPr>
        <w:t xml:space="preserve"> Konzepte bei Harrods in London im April 2001.</w:t>
      </w:r>
      <w:r w:rsidR="00D41A25" w:rsidRPr="00DE201C">
        <w:t xml:space="preserve"> 196</w:t>
      </w:r>
      <w:r w:rsidR="00D41A25">
        <w:t>1 produzierte das Unternehmen</w:t>
      </w:r>
      <w:r w:rsidR="00D41A25" w:rsidRPr="00DE201C">
        <w:t xml:space="preserve"> den „Trackster“, den weltweit ersten </w:t>
      </w:r>
      <w:r w:rsidR="00D41A25" w:rsidRPr="00CF3D82">
        <w:t>Laufschuh</w:t>
      </w:r>
      <w:r w:rsidR="00D41A25" w:rsidRPr="00DE201C">
        <w:t xml:space="preserve"> mit wellenförmiger Sohle, der in unterschiedlichen Weiten hergestellt wurde. </w:t>
      </w:r>
    </w:p>
    <w:p w:rsidR="00D41A25" w:rsidRPr="00394400" w:rsidRDefault="00D41A25" w:rsidP="00394400">
      <w:pPr>
        <w:spacing w:before="60" w:after="60" w:line="276" w:lineRule="auto"/>
        <w:rPr>
          <w:rFonts w:eastAsia="Times New Roman"/>
          <w:b/>
          <w:bCs/>
          <w:lang w:eastAsia="en-GB"/>
        </w:rPr>
      </w:pPr>
      <w:r w:rsidRPr="00DE201C">
        <w:rPr>
          <w:rFonts w:eastAsia="Times New Roman"/>
          <w:b/>
          <w:bCs/>
          <w:lang w:eastAsia="en-GB"/>
        </w:rPr>
        <w:t>Custom Fuß Corp.</w:t>
      </w:r>
      <w:r w:rsidRPr="00394400">
        <w:rPr>
          <w:rFonts w:eastAsia="Times New Roman"/>
          <w:b/>
          <w:bCs/>
          <w:lang w:eastAsia="en-GB"/>
        </w:rPr>
        <w:t xml:space="preserve"> </w:t>
      </w:r>
    </w:p>
    <w:p w:rsidR="00D41A25" w:rsidRPr="00DE201C" w:rsidRDefault="00354A3A" w:rsidP="00D41A25">
      <w:pPr>
        <w:spacing w:line="276" w:lineRule="auto"/>
        <w:rPr>
          <w:rFonts w:eastAsia="Times New Roman"/>
          <w:lang w:eastAsia="en-GB"/>
        </w:rPr>
      </w:pPr>
      <w:r>
        <w:rPr>
          <w:rFonts w:eastAsia="Times New Roman"/>
          <w:lang w:eastAsia="en-GB"/>
        </w:rPr>
        <w:t>W</w:t>
      </w:r>
      <w:r w:rsidR="00D41A25" w:rsidRPr="00DE201C">
        <w:rPr>
          <w:rFonts w:eastAsia="Times New Roman"/>
          <w:lang w:eastAsia="en-GB"/>
        </w:rPr>
        <w:t xml:space="preserve">ar einer der führenden Pioniere der Massen Customizing Schuhe hinsichtlich Passform und Design in Amerika. </w:t>
      </w:r>
    </w:p>
    <w:p w:rsidR="00D41A25" w:rsidRPr="00394400" w:rsidRDefault="00D41A25" w:rsidP="00394400">
      <w:pPr>
        <w:spacing w:before="60" w:after="60" w:line="276" w:lineRule="auto"/>
        <w:rPr>
          <w:rFonts w:eastAsia="Times New Roman"/>
          <w:b/>
          <w:bCs/>
          <w:lang w:eastAsia="en-GB"/>
        </w:rPr>
      </w:pPr>
      <w:r w:rsidRPr="00DE201C">
        <w:rPr>
          <w:rFonts w:eastAsia="Times New Roman"/>
          <w:b/>
          <w:bCs/>
          <w:lang w:eastAsia="en-GB"/>
        </w:rPr>
        <w:t>Creo Interactive GmbH</w:t>
      </w:r>
      <w:r w:rsidRPr="00394400">
        <w:rPr>
          <w:rFonts w:eastAsia="Times New Roman"/>
          <w:b/>
          <w:bCs/>
          <w:lang w:eastAsia="en-GB"/>
        </w:rPr>
        <w:t xml:space="preserve"> </w:t>
      </w:r>
    </w:p>
    <w:p w:rsidR="00D41A25" w:rsidRPr="00DE201C" w:rsidRDefault="00D41A25" w:rsidP="00D41A25">
      <w:pPr>
        <w:spacing w:line="276" w:lineRule="auto"/>
        <w:rPr>
          <w:rFonts w:eastAsia="Times New Roman"/>
          <w:lang w:eastAsia="en-GB"/>
        </w:rPr>
      </w:pPr>
      <w:r w:rsidRPr="00DE201C">
        <w:rPr>
          <w:rFonts w:eastAsia="Times New Roman"/>
          <w:lang w:eastAsia="en-GB"/>
        </w:rPr>
        <w:t>1998 hat Creo Interactive einen völlig neuen Schuh entwickelt, basierend auf dem Hauptkörper und der Zunge.</w:t>
      </w:r>
    </w:p>
    <w:p w:rsidR="00D41A25" w:rsidRPr="004D69C1" w:rsidRDefault="00D41A25" w:rsidP="00394400">
      <w:pPr>
        <w:spacing w:before="60" w:after="60" w:line="276" w:lineRule="auto"/>
        <w:rPr>
          <w:rFonts w:eastAsia="Times New Roman"/>
          <w:b/>
          <w:bCs/>
          <w:lang w:val="en-US" w:eastAsia="en-GB"/>
        </w:rPr>
      </w:pPr>
      <w:r w:rsidRPr="004D69C1">
        <w:rPr>
          <w:rFonts w:eastAsia="Times New Roman"/>
          <w:b/>
          <w:bCs/>
          <w:lang w:val="en-US" w:eastAsia="en-GB"/>
        </w:rPr>
        <w:t xml:space="preserve">Customatix.com of Solemates, Inc. </w:t>
      </w:r>
    </w:p>
    <w:p w:rsidR="00D41A25" w:rsidRPr="00DE201C" w:rsidRDefault="00D41A25" w:rsidP="00D41A25">
      <w:pPr>
        <w:spacing w:line="276" w:lineRule="auto"/>
      </w:pPr>
      <w:r w:rsidRPr="00DE201C">
        <w:rPr>
          <w:rFonts w:eastAsia="Times New Roman"/>
          <w:lang w:eastAsia="en-GB"/>
        </w:rPr>
        <w:t xml:space="preserve">Customatix.com </w:t>
      </w:r>
      <w:r w:rsidR="00354A3A">
        <w:rPr>
          <w:rFonts w:eastAsia="Times New Roman"/>
          <w:lang w:eastAsia="en-GB"/>
        </w:rPr>
        <w:t>ermöglicht dem Verbraucher a</w:t>
      </w:r>
      <w:r w:rsidRPr="00DE201C">
        <w:rPr>
          <w:rFonts w:eastAsia="Times New Roman"/>
          <w:lang w:eastAsia="en-GB"/>
        </w:rPr>
        <w:t xml:space="preserve">us einer Vielzahl von Farben, Materialien, Grafiken und Logos ihre eigenen personalisierten Designs auszuwählen. </w:t>
      </w:r>
    </w:p>
    <w:p w:rsidR="003C434E" w:rsidRPr="00CA32ED" w:rsidRDefault="003C434E" w:rsidP="004D69C1">
      <w:pPr>
        <w:rPr>
          <w:b/>
          <w:color w:val="0909FF"/>
          <w:sz w:val="6"/>
        </w:rPr>
      </w:pPr>
    </w:p>
    <w:p w:rsidR="004D69C1" w:rsidRPr="00CA32ED" w:rsidRDefault="00CA32ED" w:rsidP="00CA32ED">
      <w:pPr>
        <w:pStyle w:val="Listenabsatz"/>
        <w:numPr>
          <w:ilvl w:val="0"/>
          <w:numId w:val="2"/>
        </w:numPr>
        <w:spacing w:line="276" w:lineRule="auto"/>
        <w:ind w:left="357" w:hanging="357"/>
        <w:rPr>
          <w:rFonts w:eastAsia="Times New Roman"/>
          <w:b/>
          <w:bCs/>
          <w:iCs/>
          <w:color w:val="548DD4" w:themeColor="text2" w:themeTint="99"/>
          <w:lang w:eastAsia="en-GB"/>
        </w:rPr>
      </w:pPr>
      <w:r w:rsidRPr="00CA32ED">
        <w:rPr>
          <w:rFonts w:eastAsia="Times New Roman"/>
          <w:b/>
          <w:bCs/>
          <w:iCs/>
          <w:color w:val="548DD4" w:themeColor="text2" w:themeTint="99"/>
          <w:lang w:eastAsia="en-GB"/>
        </w:rPr>
        <w:t>Funktionen von Mass Customization</w:t>
      </w:r>
    </w:p>
    <w:p w:rsidR="00CA32ED" w:rsidRPr="00CA32ED" w:rsidRDefault="00CA32ED" w:rsidP="00CA32ED">
      <w:pPr>
        <w:pStyle w:val="StandardWeb"/>
        <w:spacing w:before="0" w:beforeAutospacing="0" w:after="0" w:afterAutospacing="0"/>
        <w:rPr>
          <w:sz w:val="6"/>
        </w:rPr>
      </w:pPr>
    </w:p>
    <w:p w:rsidR="00CA32ED" w:rsidRPr="00CA32ED" w:rsidRDefault="00CA32ED" w:rsidP="00CA32ED">
      <w:pPr>
        <w:pStyle w:val="StandardWeb"/>
        <w:spacing w:before="0" w:beforeAutospacing="0" w:after="0" w:afterAutospacing="0"/>
        <w:rPr>
          <w:rFonts w:ascii="Arial" w:hAnsi="Arial" w:cs="Arial"/>
        </w:rPr>
      </w:pPr>
      <w:r w:rsidRPr="00CA32ED">
        <w:rPr>
          <w:rFonts w:ascii="Arial" w:hAnsi="Arial" w:cs="Arial"/>
        </w:rPr>
        <w:t>Um erfolgreich Mass Customization an den Kunden anzupassen, ist es notwendig drei grundleg</w:t>
      </w:r>
      <w:r>
        <w:rPr>
          <w:rFonts w:ascii="Arial" w:hAnsi="Arial" w:cs="Arial"/>
        </w:rPr>
        <w:t>ende Funktionen zu beherrschen:</w:t>
      </w:r>
    </w:p>
    <w:p w:rsidR="00CA32ED" w:rsidRPr="00CA32ED" w:rsidRDefault="00CA32ED" w:rsidP="00CA32ED">
      <w:pPr>
        <w:pStyle w:val="StandardWeb"/>
        <w:spacing w:before="60" w:beforeAutospacing="0" w:after="60" w:afterAutospacing="0"/>
        <w:rPr>
          <w:rFonts w:ascii="Arial" w:hAnsi="Arial" w:cs="Arial"/>
          <w:b/>
        </w:rPr>
      </w:pPr>
      <w:r w:rsidRPr="00CA32ED">
        <w:rPr>
          <w:rFonts w:ascii="Arial" w:hAnsi="Arial" w:cs="Arial"/>
          <w:b/>
        </w:rPr>
        <w:t xml:space="preserve">Solution Space Development: </w:t>
      </w:r>
    </w:p>
    <w:p w:rsidR="00CA32ED" w:rsidRPr="00CA32ED" w:rsidRDefault="00CA32ED" w:rsidP="00CA32ED">
      <w:pPr>
        <w:pStyle w:val="StandardWeb"/>
        <w:spacing w:before="60" w:beforeAutospacing="0" w:after="0" w:afterAutospacing="0" w:line="276" w:lineRule="auto"/>
        <w:rPr>
          <w:rFonts w:ascii="Arial" w:hAnsi="Arial" w:cs="Arial"/>
        </w:rPr>
      </w:pPr>
      <w:r w:rsidRPr="00CA32ED">
        <w:rPr>
          <w:rFonts w:ascii="Arial" w:hAnsi="Arial" w:cs="Arial"/>
        </w:rPr>
        <w:t xml:space="preserve">Unternehmen </w:t>
      </w:r>
      <w:r>
        <w:rPr>
          <w:rFonts w:ascii="Arial" w:hAnsi="Arial" w:cs="Arial"/>
        </w:rPr>
        <w:t>müssen</w:t>
      </w:r>
      <w:r w:rsidRPr="00CA32ED">
        <w:rPr>
          <w:rFonts w:ascii="Arial" w:hAnsi="Arial" w:cs="Arial"/>
        </w:rPr>
        <w:t xml:space="preserve"> in der Lage sein</w:t>
      </w:r>
      <w:r>
        <w:rPr>
          <w:rFonts w:ascii="Arial" w:hAnsi="Arial" w:cs="Arial"/>
        </w:rPr>
        <w:t>,</w:t>
      </w:r>
      <w:r w:rsidRPr="00CA32ED">
        <w:rPr>
          <w:rFonts w:ascii="Arial" w:hAnsi="Arial" w:cs="Arial"/>
        </w:rPr>
        <w:t xml:space="preserve"> zu verstehen, welche Bedürfnisse </w:t>
      </w:r>
      <w:r>
        <w:rPr>
          <w:rFonts w:ascii="Arial" w:hAnsi="Arial" w:cs="Arial"/>
        </w:rPr>
        <w:t>die</w:t>
      </w:r>
      <w:r w:rsidRPr="00CA32ED">
        <w:rPr>
          <w:rFonts w:ascii="Arial" w:hAnsi="Arial" w:cs="Arial"/>
        </w:rPr>
        <w:t xml:space="preserve"> Kunden hab</w:t>
      </w:r>
      <w:r>
        <w:rPr>
          <w:rFonts w:ascii="Arial" w:hAnsi="Arial" w:cs="Arial"/>
        </w:rPr>
        <w:t>en und sich nicht nur auf eine z</w:t>
      </w:r>
      <w:r w:rsidRPr="00CA32ED">
        <w:rPr>
          <w:rFonts w:ascii="Arial" w:hAnsi="Arial" w:cs="Arial"/>
        </w:rPr>
        <w:t>entrale Tendenz richten. Lösungsräume</w:t>
      </w:r>
      <w:r>
        <w:rPr>
          <w:rFonts w:ascii="Arial" w:hAnsi="Arial" w:cs="Arial"/>
        </w:rPr>
        <w:t xml:space="preserve"> müssen</w:t>
      </w:r>
      <w:r w:rsidRPr="00CA32ED">
        <w:rPr>
          <w:rFonts w:ascii="Arial" w:hAnsi="Arial" w:cs="Arial"/>
        </w:rPr>
        <w:t xml:space="preserve"> definiert werden um die Produkt-Attribute entlang der Kundenbedürfnisse auszurichten. Somit kann definiert werden was angeboten wird und was nicht. </w:t>
      </w:r>
    </w:p>
    <w:p w:rsidR="00CA32ED" w:rsidRPr="00CA32ED" w:rsidRDefault="00CA32ED" w:rsidP="00CA32ED">
      <w:pPr>
        <w:pStyle w:val="StandardWeb"/>
        <w:spacing w:before="60" w:beforeAutospacing="0" w:after="60" w:afterAutospacing="0"/>
        <w:rPr>
          <w:rFonts w:ascii="Arial" w:hAnsi="Arial" w:cs="Arial"/>
          <w:b/>
        </w:rPr>
      </w:pPr>
      <w:r w:rsidRPr="00CA32ED">
        <w:rPr>
          <w:rFonts w:ascii="Arial" w:hAnsi="Arial" w:cs="Arial"/>
          <w:b/>
        </w:rPr>
        <w:lastRenderedPageBreak/>
        <w:t xml:space="preserve">Robust Process Design: </w:t>
      </w:r>
    </w:p>
    <w:p w:rsidR="00CA32ED" w:rsidRPr="00CA32ED" w:rsidRDefault="00CA32ED" w:rsidP="00CA32ED">
      <w:pPr>
        <w:pStyle w:val="StandardWeb"/>
        <w:spacing w:before="0" w:beforeAutospacing="0" w:after="0" w:afterAutospacing="0" w:line="276" w:lineRule="auto"/>
        <w:rPr>
          <w:rFonts w:ascii="Arial" w:hAnsi="Arial" w:cs="Arial"/>
        </w:rPr>
      </w:pPr>
      <w:r w:rsidRPr="00CA32ED">
        <w:rPr>
          <w:rFonts w:ascii="Arial" w:hAnsi="Arial" w:cs="Arial"/>
        </w:rPr>
        <w:t>Es ist von entscheidender Bedeutung, dass die erhöhte Variabilität nicht zu einer Verschlechterung der Supply Chain führt. Dies erfordert eine robuste Wertschöpfungskette. Diese ist definiert als</w:t>
      </w:r>
      <w:r>
        <w:rPr>
          <w:rFonts w:ascii="Arial" w:hAnsi="Arial" w:cs="Arial"/>
        </w:rPr>
        <w:t xml:space="preserve"> die Fähigkeit Ressourcen der We</w:t>
      </w:r>
      <w:r w:rsidRPr="00CA32ED">
        <w:rPr>
          <w:rFonts w:ascii="Arial" w:hAnsi="Arial" w:cs="Arial"/>
        </w:rPr>
        <w:t xml:space="preserve">rtschöpfung und der Organisation wieder zu verwenden oder neu zu kombinieren um die Bedürfnisse des Kunden zu erfüllen. </w:t>
      </w:r>
    </w:p>
    <w:p w:rsidR="00CA32ED" w:rsidRPr="00CA32ED" w:rsidRDefault="00CA32ED" w:rsidP="00CA32ED">
      <w:pPr>
        <w:pStyle w:val="StandardWeb"/>
        <w:spacing w:before="60" w:beforeAutospacing="0" w:after="60" w:afterAutospacing="0"/>
        <w:rPr>
          <w:rFonts w:ascii="Arial" w:hAnsi="Arial" w:cs="Arial"/>
          <w:b/>
        </w:rPr>
      </w:pPr>
      <w:r w:rsidRPr="00CA32ED">
        <w:rPr>
          <w:rFonts w:ascii="Arial" w:hAnsi="Arial" w:cs="Arial"/>
          <w:b/>
        </w:rPr>
        <w:t xml:space="preserve">Choice Navigation: </w:t>
      </w:r>
    </w:p>
    <w:p w:rsidR="00CA32ED" w:rsidRDefault="00CA32ED" w:rsidP="00CA32ED">
      <w:pPr>
        <w:pStyle w:val="StandardWeb"/>
        <w:spacing w:before="0" w:beforeAutospacing="0" w:after="0" w:afterAutospacing="0" w:line="276" w:lineRule="auto"/>
        <w:rPr>
          <w:rFonts w:ascii="Arial" w:hAnsi="Arial" w:cs="Arial"/>
        </w:rPr>
      </w:pPr>
      <w:r w:rsidRPr="00CA32ED">
        <w:rPr>
          <w:rFonts w:ascii="Arial" w:hAnsi="Arial" w:cs="Arial"/>
        </w:rPr>
        <w:t xml:space="preserve">Dies ist die Organisationsfähigkeit um die Navigation durch die Produktpalette des Unternehmens aus Kundensicht so einfach wie möglich zu gestalten. Da der Kunde bei zu vielen und unübersichtlichen Auswahlmöglichkeiten schnell überfordert ist und somit Kaufentscheidungen ausgesetzt </w:t>
      </w:r>
      <w:r>
        <w:rPr>
          <w:rFonts w:ascii="Arial" w:hAnsi="Arial" w:cs="Arial"/>
        </w:rPr>
        <w:t>wird</w:t>
      </w:r>
      <w:r w:rsidRPr="00CA32ED">
        <w:rPr>
          <w:rFonts w:ascii="Arial" w:hAnsi="Arial" w:cs="Arial"/>
        </w:rPr>
        <w:t xml:space="preserve">, ist diese Funktion essentiell. </w:t>
      </w:r>
    </w:p>
    <w:p w:rsidR="00E71C5B" w:rsidRPr="00E71C5B" w:rsidRDefault="00E71C5B" w:rsidP="00CA32ED">
      <w:pPr>
        <w:pStyle w:val="StandardWeb"/>
        <w:spacing w:before="0" w:beforeAutospacing="0" w:after="0" w:afterAutospacing="0" w:line="276" w:lineRule="auto"/>
        <w:rPr>
          <w:rFonts w:ascii="Arial" w:hAnsi="Arial" w:cs="Arial"/>
          <w:sz w:val="6"/>
        </w:rPr>
      </w:pPr>
    </w:p>
    <w:p w:rsidR="00E71C5B" w:rsidRPr="00E71C5B" w:rsidRDefault="002D5AFE" w:rsidP="00E71C5B">
      <w:pPr>
        <w:pStyle w:val="Listenabsatz"/>
        <w:numPr>
          <w:ilvl w:val="0"/>
          <w:numId w:val="2"/>
        </w:numPr>
        <w:spacing w:line="276" w:lineRule="auto"/>
        <w:ind w:left="357" w:hanging="357"/>
        <w:rPr>
          <w:rFonts w:eastAsia="Times New Roman"/>
          <w:b/>
          <w:bCs/>
          <w:iCs/>
          <w:color w:val="548DD4" w:themeColor="text2" w:themeTint="99"/>
          <w:lang w:eastAsia="en-GB"/>
        </w:rPr>
      </w:pPr>
      <w:r>
        <w:rPr>
          <w:rFonts w:eastAsia="Times New Roman"/>
          <w:b/>
          <w:bCs/>
          <w:iCs/>
          <w:color w:val="548DD4" w:themeColor="text2" w:themeTint="99"/>
          <w:lang w:eastAsia="en-GB"/>
        </w:rPr>
        <w:t>m</w:t>
      </w:r>
      <w:r w:rsidR="00E71C5B" w:rsidRPr="00E71C5B">
        <w:rPr>
          <w:rFonts w:eastAsia="Times New Roman"/>
          <w:b/>
          <w:bCs/>
          <w:iCs/>
          <w:color w:val="548DD4" w:themeColor="text2" w:themeTint="99"/>
          <w:lang w:eastAsia="en-GB"/>
        </w:rPr>
        <w:t>iadidas-amazon Initiative</w:t>
      </w:r>
    </w:p>
    <w:p w:rsidR="00E71C5B" w:rsidRPr="00E71C5B" w:rsidRDefault="00E71C5B" w:rsidP="00E71C5B">
      <w:pPr>
        <w:rPr>
          <w:sz w:val="6"/>
        </w:rPr>
      </w:pPr>
    </w:p>
    <w:p w:rsidR="00E71C5B" w:rsidRPr="00E71C5B" w:rsidRDefault="00E71C5B" w:rsidP="00E71C5B">
      <w:pPr>
        <w:spacing w:line="276" w:lineRule="auto"/>
      </w:pPr>
      <w:r>
        <w:t>Bis 2013 gestattete Adidas keinen Verkauf über offene Marktplätze. Aufgrund der erhöhten Onlineaktivitäten der Händler und der Gegenwehr des Bundeskartellamtes, entschied sich Adidas über eine neue Verkaufsstrategie. Der Onlinehandel als neues Zugpferd, jedoch mit Beschränkungen. Um Imageschäden zu vermeiden müssen die Produkte dementsprechend präsentiert werden und es dürfen nur Originalbilder verwendet werden. Zudem muss über den offenen Marktplatz ein Kundenservice für Käufer zur Verfügung stehen. Adidas ist somit ein Vorbild für andere Marken wie Acer. Der Umsatz im Onlinehandel stieg zwischen den Jahren 2013 und 2014 um 68,8 %, von 276 Mio. US-Dollar auf 466 Mio US-Dollar. Der Onlineverkauf beträgt einen Anteil von 2,9 % am Gesamtumsatz des Unternehmens. Das Ziel ist 2015 ein Onlineumsatz von 500 Mio. US-Dollar, deshalb möchte adidas weiter in Onlineplattformen investieren.</w:t>
      </w:r>
    </w:p>
    <w:p w:rsidR="004D69C1" w:rsidRPr="00CA32ED" w:rsidRDefault="004D69C1" w:rsidP="004D69C1">
      <w:pPr>
        <w:rPr>
          <w:b/>
          <w:color w:val="0909FF"/>
          <w:sz w:val="6"/>
        </w:rPr>
      </w:pPr>
    </w:p>
    <w:p w:rsidR="004D69C1" w:rsidRDefault="004D69C1" w:rsidP="00E71C5B">
      <w:pPr>
        <w:pStyle w:val="Listenabsatz"/>
        <w:numPr>
          <w:ilvl w:val="0"/>
          <w:numId w:val="2"/>
        </w:numPr>
        <w:spacing w:before="60" w:after="60" w:line="276" w:lineRule="auto"/>
        <w:ind w:left="357" w:hanging="357"/>
        <w:rPr>
          <w:rFonts w:eastAsia="Times New Roman"/>
          <w:b/>
          <w:bCs/>
          <w:iCs/>
          <w:color w:val="548DD4" w:themeColor="text2" w:themeTint="99"/>
          <w:lang w:eastAsia="en-GB"/>
        </w:rPr>
      </w:pPr>
      <w:r w:rsidRPr="004D69C1">
        <w:rPr>
          <w:rFonts w:eastAsia="Times New Roman"/>
          <w:b/>
          <w:bCs/>
          <w:iCs/>
          <w:color w:val="548DD4" w:themeColor="text2" w:themeTint="99"/>
          <w:lang w:eastAsia="en-GB"/>
        </w:rPr>
        <w:t>NikeID vs. miadidas</w:t>
      </w:r>
    </w:p>
    <w:p w:rsidR="004D69C1" w:rsidRPr="004D69C1" w:rsidRDefault="004D69C1" w:rsidP="004D69C1">
      <w:pPr>
        <w:pStyle w:val="Listenabsatz"/>
        <w:spacing w:line="276" w:lineRule="auto"/>
        <w:ind w:left="357"/>
        <w:rPr>
          <w:rFonts w:eastAsia="Times New Roman"/>
          <w:b/>
          <w:bCs/>
          <w:iCs/>
          <w:color w:val="548DD4" w:themeColor="text2" w:themeTint="99"/>
          <w:sz w:val="8"/>
          <w:lang w:eastAsia="en-GB"/>
        </w:rPr>
      </w:pPr>
    </w:p>
    <w:tbl>
      <w:tblPr>
        <w:tblStyle w:val="MittlereSchattierung2-Akzent1"/>
        <w:tblW w:w="0" w:type="auto"/>
        <w:tblInd w:w="108" w:type="dxa"/>
        <w:tblLayout w:type="fixed"/>
        <w:tblLook w:val="04A0" w:firstRow="1" w:lastRow="0" w:firstColumn="1" w:lastColumn="0" w:noHBand="0" w:noVBand="1"/>
      </w:tblPr>
      <w:tblGrid>
        <w:gridCol w:w="1418"/>
        <w:gridCol w:w="4077"/>
        <w:gridCol w:w="3559"/>
      </w:tblGrid>
      <w:tr w:rsidR="004D69C1" w:rsidTr="00CA32ED">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418" w:type="dxa"/>
          </w:tcPr>
          <w:p w:rsidR="004D69C1" w:rsidRDefault="004D69C1" w:rsidP="00842AC9">
            <w:pPr>
              <w:jc w:val="center"/>
            </w:pPr>
          </w:p>
        </w:tc>
        <w:tc>
          <w:tcPr>
            <w:tcW w:w="4077" w:type="dxa"/>
          </w:tcPr>
          <w:p w:rsidR="004D69C1" w:rsidRDefault="004D69C1" w:rsidP="00842AC9">
            <w:pPr>
              <w:jc w:val="center"/>
              <w:cnfStyle w:val="100000000000" w:firstRow="1" w:lastRow="0" w:firstColumn="0" w:lastColumn="0" w:oddVBand="0" w:evenVBand="0" w:oddHBand="0" w:evenHBand="0" w:firstRowFirstColumn="0" w:firstRowLastColumn="0" w:lastRowFirstColumn="0" w:lastRowLastColumn="0"/>
            </w:pPr>
            <w:r>
              <w:t>NikeID</w:t>
            </w:r>
          </w:p>
        </w:tc>
        <w:tc>
          <w:tcPr>
            <w:tcW w:w="3559" w:type="dxa"/>
          </w:tcPr>
          <w:p w:rsidR="004D69C1" w:rsidRDefault="004D69C1" w:rsidP="00842AC9">
            <w:pPr>
              <w:jc w:val="center"/>
              <w:cnfStyle w:val="100000000000" w:firstRow="1" w:lastRow="0" w:firstColumn="0" w:lastColumn="0" w:oddVBand="0" w:evenVBand="0" w:oddHBand="0" w:evenHBand="0" w:firstRowFirstColumn="0" w:firstRowLastColumn="0" w:lastRowFirstColumn="0" w:lastRowLastColumn="0"/>
            </w:pPr>
            <w:r>
              <w:t>miadidas</w:t>
            </w:r>
          </w:p>
        </w:tc>
      </w:tr>
      <w:tr w:rsidR="004D69C1" w:rsidTr="00CA32E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CA32ED" w:rsidP="00842AC9">
            <w:r>
              <w:t>Vorteile</w:t>
            </w:r>
          </w:p>
        </w:tc>
        <w:tc>
          <w:tcPr>
            <w:tcW w:w="4077" w:type="dxa"/>
          </w:tcPr>
          <w:p w:rsidR="004D69C1" w:rsidRPr="004D69C1" w:rsidRDefault="004D69C1" w:rsidP="004D69C1">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Sehr hohe Auswahl an Grundmodellen</w:t>
            </w:r>
          </w:p>
        </w:tc>
        <w:tc>
          <w:tcPr>
            <w:tcW w:w="3559" w:type="dxa"/>
          </w:tcPr>
          <w:p w:rsidR="004D69C1" w:rsidRPr="004D69C1" w:rsidRDefault="004D69C1" w:rsidP="004D69C1">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Viele verschiedene Grundmodelle</w:t>
            </w:r>
          </w:p>
        </w:tc>
      </w:tr>
      <w:tr w:rsidR="004D69C1" w:rsidTr="00CA32ED">
        <w:trPr>
          <w:trHeight w:val="270"/>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4D69C1">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lang w:val="de-DE"/>
              </w:rPr>
            </w:pPr>
            <w:r w:rsidRPr="004D69C1">
              <w:rPr>
                <w:lang w:val="de-DE"/>
              </w:rPr>
              <w:t>Größere Personalisierungs-möglichkeiten</w:t>
            </w:r>
          </w:p>
        </w:tc>
        <w:tc>
          <w:tcPr>
            <w:tcW w:w="3559" w:type="dxa"/>
          </w:tcPr>
          <w:p w:rsidR="004D69C1" w:rsidRPr="004D69C1" w:rsidRDefault="004D69C1" w:rsidP="004D69C1">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lang w:val="de-DE"/>
              </w:rPr>
            </w:pPr>
            <w:r w:rsidRPr="004D69C1">
              <w:rPr>
                <w:lang w:val="de-DE"/>
              </w:rPr>
              <w:t>Sehr beliebt bei Fußball-schuhe</w:t>
            </w:r>
          </w:p>
        </w:tc>
      </w:tr>
      <w:tr w:rsidR="004D69C1" w:rsidTr="00CA32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18" w:type="dxa"/>
          </w:tcPr>
          <w:p w:rsidR="004D69C1" w:rsidRPr="004D69C1" w:rsidRDefault="004D69C1" w:rsidP="00842AC9"/>
        </w:tc>
        <w:tc>
          <w:tcPr>
            <w:tcW w:w="4077" w:type="dxa"/>
          </w:tcPr>
          <w:p w:rsidR="004D69C1" w:rsidRPr="004D69C1" w:rsidRDefault="004D69C1" w:rsidP="004D69C1">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 xml:space="preserve">Ausgereifte Website  </w:t>
            </w:r>
          </w:p>
        </w:tc>
        <w:tc>
          <w:tcPr>
            <w:tcW w:w="3559" w:type="dxa"/>
          </w:tcPr>
          <w:p w:rsidR="004D69C1" w:rsidRPr="004D69C1" w:rsidRDefault="004D69C1" w:rsidP="004D69C1">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Problemlose Rückgabe</w:t>
            </w:r>
          </w:p>
        </w:tc>
      </w:tr>
      <w:tr w:rsidR="004D69C1" w:rsidTr="00CA32ED">
        <w:trPr>
          <w:trHeight w:val="270"/>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4D69C1">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de-DE"/>
              </w:rPr>
            </w:pPr>
            <w:r w:rsidRPr="004D69C1">
              <w:rPr>
                <w:lang w:val="de-DE"/>
              </w:rPr>
              <w:t>Kürzere Lieferzeit</w:t>
            </w:r>
          </w:p>
        </w:tc>
        <w:tc>
          <w:tcPr>
            <w:tcW w:w="3559" w:type="dxa"/>
          </w:tcPr>
          <w:p w:rsidR="004D69C1" w:rsidRPr="004D69C1" w:rsidRDefault="004D69C1" w:rsidP="004D69C1">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de-DE"/>
              </w:rPr>
            </w:pPr>
            <w:r>
              <w:rPr>
                <w:lang w:val="de-DE"/>
              </w:rPr>
              <w:t>Schuhe etwas günsti</w:t>
            </w:r>
            <w:r w:rsidRPr="004D69C1">
              <w:rPr>
                <w:lang w:val="de-DE"/>
              </w:rPr>
              <w:t>ger</w:t>
            </w:r>
          </w:p>
        </w:tc>
      </w:tr>
      <w:tr w:rsidR="004D69C1" w:rsidTr="00CA32E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4D69C1">
            <w:pPr>
              <w:pStyle w:val="Listenabsatz"/>
              <w:numPr>
                <w:ilvl w:val="0"/>
                <w:numId w:val="4"/>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 xml:space="preserve">Kundenbewertungen für jeden Schuh </w:t>
            </w:r>
          </w:p>
        </w:tc>
        <w:tc>
          <w:tcPr>
            <w:tcW w:w="3559" w:type="dxa"/>
          </w:tcPr>
          <w:p w:rsidR="004D69C1" w:rsidRPr="004D69C1" w:rsidRDefault="004D69C1" w:rsidP="00842AC9">
            <w:pPr>
              <w:cnfStyle w:val="000000100000" w:firstRow="0" w:lastRow="0" w:firstColumn="0" w:lastColumn="0" w:oddVBand="0" w:evenVBand="0" w:oddHBand="1" w:evenHBand="0" w:firstRowFirstColumn="0" w:firstRowLastColumn="0" w:lastRowFirstColumn="0" w:lastRowLastColumn="0"/>
              <w:rPr>
                <w:lang w:val="de-DE"/>
              </w:rPr>
            </w:pPr>
          </w:p>
        </w:tc>
      </w:tr>
      <w:tr w:rsidR="004D69C1" w:rsidTr="00CA32ED">
        <w:trPr>
          <w:trHeight w:val="270"/>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842AC9">
            <w:pPr>
              <w:cnfStyle w:val="000000000000" w:firstRow="0" w:lastRow="0" w:firstColumn="0" w:lastColumn="0" w:oddVBand="0" w:evenVBand="0" w:oddHBand="0" w:evenHBand="0" w:firstRowFirstColumn="0" w:firstRowLastColumn="0" w:lastRowFirstColumn="0" w:lastRowLastColumn="0"/>
              <w:rPr>
                <w:lang w:val="de-DE"/>
              </w:rPr>
            </w:pPr>
          </w:p>
        </w:tc>
        <w:tc>
          <w:tcPr>
            <w:tcW w:w="3559" w:type="dxa"/>
          </w:tcPr>
          <w:p w:rsidR="004D69C1" w:rsidRPr="004D69C1" w:rsidRDefault="004D69C1" w:rsidP="00842AC9">
            <w:pPr>
              <w:cnfStyle w:val="000000000000" w:firstRow="0" w:lastRow="0" w:firstColumn="0" w:lastColumn="0" w:oddVBand="0" w:evenVBand="0" w:oddHBand="0" w:evenHBand="0" w:firstRowFirstColumn="0" w:firstRowLastColumn="0" w:lastRowFirstColumn="0" w:lastRowLastColumn="0"/>
              <w:rPr>
                <w:lang w:val="de-DE"/>
              </w:rPr>
            </w:pPr>
          </w:p>
        </w:tc>
      </w:tr>
      <w:tr w:rsidR="004D69C1" w:rsidTr="00CA32ED">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CA32ED" w:rsidP="00842AC9">
            <w:r>
              <w:t>Nachteile</w:t>
            </w:r>
          </w:p>
        </w:tc>
        <w:tc>
          <w:tcPr>
            <w:tcW w:w="4077" w:type="dxa"/>
          </w:tcPr>
          <w:p w:rsidR="004D69C1" w:rsidRPr="004D69C1" w:rsidRDefault="004D69C1" w:rsidP="004D69C1">
            <w:pPr>
              <w:pStyle w:val="Listenabsatz"/>
              <w:numPr>
                <w:ilvl w:val="0"/>
                <w:numId w:val="4"/>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Nur 30 Tage kostenlose Rückgabe</w:t>
            </w:r>
          </w:p>
        </w:tc>
        <w:tc>
          <w:tcPr>
            <w:tcW w:w="3559" w:type="dxa"/>
          </w:tcPr>
          <w:p w:rsidR="004D69C1" w:rsidRPr="004D69C1" w:rsidRDefault="004D69C1" w:rsidP="004D69C1">
            <w:pPr>
              <w:pStyle w:val="Listenabsatz"/>
              <w:numPr>
                <w:ilvl w:val="0"/>
                <w:numId w:val="4"/>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 xml:space="preserve">Keine europäische Schuhgrößen </w:t>
            </w:r>
          </w:p>
        </w:tc>
      </w:tr>
      <w:tr w:rsidR="004D69C1" w:rsidTr="00CA32ED">
        <w:trPr>
          <w:trHeight w:val="87"/>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4D69C1">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de-DE"/>
              </w:rPr>
            </w:pPr>
            <w:r w:rsidRPr="004D69C1">
              <w:rPr>
                <w:lang w:val="de-DE"/>
              </w:rPr>
              <w:t>Grundmodelle schon relativ teuer</w:t>
            </w:r>
          </w:p>
        </w:tc>
        <w:tc>
          <w:tcPr>
            <w:tcW w:w="3559" w:type="dxa"/>
          </w:tcPr>
          <w:p w:rsidR="004D69C1" w:rsidRPr="004D69C1" w:rsidRDefault="004D69C1" w:rsidP="004D69C1">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de-DE"/>
              </w:rPr>
            </w:pPr>
            <w:r w:rsidRPr="004D69C1">
              <w:rPr>
                <w:lang w:val="de-DE"/>
              </w:rPr>
              <w:t>Seite nicht ansprechend gestaltet</w:t>
            </w:r>
          </w:p>
        </w:tc>
      </w:tr>
      <w:tr w:rsidR="004D69C1" w:rsidTr="00CA32ED">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842AC9">
            <w:pPr>
              <w:cnfStyle w:val="000000100000" w:firstRow="0" w:lastRow="0" w:firstColumn="0" w:lastColumn="0" w:oddVBand="0" w:evenVBand="0" w:oddHBand="1" w:evenHBand="0" w:firstRowFirstColumn="0" w:firstRowLastColumn="0" w:lastRowFirstColumn="0" w:lastRowLastColumn="0"/>
              <w:rPr>
                <w:lang w:val="de-DE"/>
              </w:rPr>
            </w:pPr>
          </w:p>
        </w:tc>
        <w:tc>
          <w:tcPr>
            <w:tcW w:w="3559" w:type="dxa"/>
          </w:tcPr>
          <w:p w:rsidR="004D69C1" w:rsidRPr="004D69C1" w:rsidRDefault="004D69C1" w:rsidP="004D69C1">
            <w:pPr>
              <w:pStyle w:val="Listenabsatz"/>
              <w:numPr>
                <w:ilvl w:val="0"/>
                <w:numId w:val="4"/>
              </w:numPr>
              <w:cnfStyle w:val="000000100000" w:firstRow="0" w:lastRow="0" w:firstColumn="0" w:lastColumn="0" w:oddVBand="0" w:evenVBand="0" w:oddHBand="1" w:evenHBand="0" w:firstRowFirstColumn="0" w:firstRowLastColumn="0" w:lastRowFirstColumn="0" w:lastRowLastColumn="0"/>
              <w:rPr>
                <w:lang w:val="de-DE"/>
              </w:rPr>
            </w:pPr>
            <w:r w:rsidRPr="004D69C1">
              <w:rPr>
                <w:lang w:val="de-DE"/>
              </w:rPr>
              <w:t>Geringere Gestaltungsmöglichkeiten</w:t>
            </w:r>
          </w:p>
        </w:tc>
      </w:tr>
      <w:tr w:rsidR="004D69C1" w:rsidTr="00CA32ED">
        <w:trPr>
          <w:trHeight w:val="87"/>
        </w:trPr>
        <w:tc>
          <w:tcPr>
            <w:cnfStyle w:val="001000000000" w:firstRow="0" w:lastRow="0" w:firstColumn="1" w:lastColumn="0" w:oddVBand="0" w:evenVBand="0" w:oddHBand="0" w:evenHBand="0" w:firstRowFirstColumn="0" w:firstRowLastColumn="0" w:lastRowFirstColumn="0" w:lastRowLastColumn="0"/>
            <w:tcW w:w="1418" w:type="dxa"/>
          </w:tcPr>
          <w:p w:rsidR="004D69C1" w:rsidRDefault="004D69C1" w:rsidP="00842AC9"/>
        </w:tc>
        <w:tc>
          <w:tcPr>
            <w:tcW w:w="4077" w:type="dxa"/>
          </w:tcPr>
          <w:p w:rsidR="004D69C1" w:rsidRPr="004D69C1" w:rsidRDefault="004D69C1" w:rsidP="00842AC9">
            <w:pPr>
              <w:cnfStyle w:val="000000000000" w:firstRow="0" w:lastRow="0" w:firstColumn="0" w:lastColumn="0" w:oddVBand="0" w:evenVBand="0" w:oddHBand="0" w:evenHBand="0" w:firstRowFirstColumn="0" w:firstRowLastColumn="0" w:lastRowFirstColumn="0" w:lastRowLastColumn="0"/>
              <w:rPr>
                <w:lang w:val="de-DE"/>
              </w:rPr>
            </w:pPr>
          </w:p>
        </w:tc>
        <w:tc>
          <w:tcPr>
            <w:tcW w:w="3559" w:type="dxa"/>
          </w:tcPr>
          <w:p w:rsidR="004D69C1" w:rsidRPr="004D69C1" w:rsidRDefault="004D69C1" w:rsidP="004D69C1">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de-DE"/>
              </w:rPr>
            </w:pPr>
            <w:r>
              <w:rPr>
                <w:lang w:val="de-DE"/>
              </w:rPr>
              <w:t>Keine Kundenbe</w:t>
            </w:r>
            <w:r w:rsidRPr="004D69C1">
              <w:rPr>
                <w:lang w:val="de-DE"/>
              </w:rPr>
              <w:t>wertungen</w:t>
            </w:r>
          </w:p>
        </w:tc>
      </w:tr>
    </w:tbl>
    <w:p w:rsidR="002D5AFE" w:rsidRDefault="002D5AFE" w:rsidP="002D5AFE">
      <w:pPr>
        <w:pStyle w:val="Listenabsatz"/>
        <w:ind w:left="357"/>
        <w:jc w:val="both"/>
        <w:rPr>
          <w:b/>
          <w:color w:val="548DD4" w:themeColor="text2" w:themeTint="99"/>
        </w:rPr>
      </w:pPr>
    </w:p>
    <w:p w:rsidR="002D5AFE" w:rsidRDefault="002D5AFE" w:rsidP="002D5AFE">
      <w:pPr>
        <w:pStyle w:val="Listenabsatz"/>
        <w:ind w:left="357"/>
        <w:jc w:val="both"/>
        <w:rPr>
          <w:b/>
          <w:color w:val="548DD4" w:themeColor="text2" w:themeTint="99"/>
        </w:rPr>
      </w:pPr>
    </w:p>
    <w:p w:rsidR="003C434E" w:rsidRPr="00394400" w:rsidRDefault="003C434E" w:rsidP="00394400">
      <w:pPr>
        <w:pStyle w:val="Listenabsatz"/>
        <w:numPr>
          <w:ilvl w:val="0"/>
          <w:numId w:val="2"/>
        </w:numPr>
        <w:ind w:left="357" w:hanging="357"/>
        <w:jc w:val="both"/>
        <w:rPr>
          <w:b/>
          <w:color w:val="548DD4" w:themeColor="text2" w:themeTint="99"/>
        </w:rPr>
      </w:pPr>
      <w:r w:rsidRPr="00394400">
        <w:rPr>
          <w:b/>
          <w:color w:val="548DD4" w:themeColor="text2" w:themeTint="99"/>
        </w:rPr>
        <w:lastRenderedPageBreak/>
        <w:t>Trends in Mass Customization:</w:t>
      </w:r>
    </w:p>
    <w:p w:rsidR="003C434E" w:rsidRPr="00394400" w:rsidRDefault="003C434E" w:rsidP="003C434E">
      <w:pPr>
        <w:rPr>
          <w:sz w:val="6"/>
        </w:rPr>
      </w:pPr>
    </w:p>
    <w:p w:rsidR="00E71C5B" w:rsidRDefault="003C434E" w:rsidP="00394400">
      <w:pPr>
        <w:pStyle w:val="Listenabsatz"/>
        <w:numPr>
          <w:ilvl w:val="0"/>
          <w:numId w:val="1"/>
        </w:numPr>
        <w:spacing w:line="276" w:lineRule="auto"/>
        <w:ind w:left="714" w:hanging="357"/>
      </w:pPr>
      <w:r>
        <w:t>Kunden sind der neue Markt</w:t>
      </w:r>
    </w:p>
    <w:p w:rsidR="003C434E" w:rsidRDefault="00E71C5B" w:rsidP="00E71C5B">
      <w:pPr>
        <w:pStyle w:val="Listenabsatz"/>
        <w:spacing w:line="276" w:lineRule="auto"/>
        <w:ind w:left="714"/>
      </w:pPr>
      <w:r>
        <w:t>Sie möchten ihre Produkte perfekt auf die Bedürfnisse zugeschnitten und sind auch bereit den Preis dafür zu bezahlen; Heterogenität spielt eine große Rolle</w:t>
      </w:r>
    </w:p>
    <w:p w:rsidR="00E71C5B" w:rsidRDefault="003C434E" w:rsidP="00394400">
      <w:pPr>
        <w:pStyle w:val="Listenabsatz"/>
        <w:numPr>
          <w:ilvl w:val="0"/>
          <w:numId w:val="1"/>
        </w:numPr>
        <w:spacing w:line="276" w:lineRule="auto"/>
        <w:ind w:left="714" w:hanging="357"/>
      </w:pPr>
      <w:r>
        <w:t xml:space="preserve">Unternehmen </w:t>
      </w:r>
      <w:r w:rsidR="00E71C5B">
        <w:t>müssen sich den Kunden anpassen</w:t>
      </w:r>
    </w:p>
    <w:p w:rsidR="00E71C5B" w:rsidRDefault="00E71C5B" w:rsidP="00E71C5B">
      <w:pPr>
        <w:pStyle w:val="Listenabsatz"/>
        <w:spacing w:line="276" w:lineRule="auto"/>
        <w:ind w:left="714"/>
      </w:pPr>
      <w:r>
        <w:t>Der Kunde soll im Zentrum des Unternehmens stehen</w:t>
      </w:r>
    </w:p>
    <w:p w:rsidR="003C434E" w:rsidRDefault="00E71C5B" w:rsidP="00394400">
      <w:pPr>
        <w:pStyle w:val="Listenabsatz"/>
        <w:numPr>
          <w:ilvl w:val="0"/>
          <w:numId w:val="1"/>
        </w:numPr>
        <w:spacing w:line="276" w:lineRule="auto"/>
        <w:ind w:left="714" w:hanging="357"/>
      </w:pPr>
      <w:r>
        <w:t xml:space="preserve">Bodyscanner </w:t>
      </w:r>
    </w:p>
    <w:p w:rsidR="00E71C5B" w:rsidRDefault="00E71C5B" w:rsidP="00E71C5B">
      <w:pPr>
        <w:pStyle w:val="Listenabsatz"/>
        <w:spacing w:line="276" w:lineRule="auto"/>
        <w:ind w:left="714"/>
      </w:pPr>
      <w:r>
        <w:t>Dadurch wird eine Maßanfertigung möglich, ohne dass Kunden etwas anprobieren müssen</w:t>
      </w:r>
    </w:p>
    <w:p w:rsidR="003C434E" w:rsidRDefault="003C434E" w:rsidP="00394400">
      <w:pPr>
        <w:pStyle w:val="Listenabsatz"/>
        <w:numPr>
          <w:ilvl w:val="0"/>
          <w:numId w:val="1"/>
        </w:numPr>
        <w:spacing w:line="276" w:lineRule="auto"/>
        <w:ind w:left="714" w:hanging="357"/>
      </w:pPr>
      <w:r>
        <w:t>Kunden möchten das eigene „Ich“ zum Ausdruck bringen</w:t>
      </w:r>
    </w:p>
    <w:p w:rsidR="00E71C5B" w:rsidRDefault="00E71C5B" w:rsidP="00E71C5B">
      <w:pPr>
        <w:pStyle w:val="Listenabsatz"/>
        <w:spacing w:line="276" w:lineRule="auto"/>
        <w:ind w:left="714"/>
      </w:pPr>
      <w:r>
        <w:t>Individualität und der Unterschied zu anderen Menschen</w:t>
      </w:r>
    </w:p>
    <w:p w:rsidR="003C434E" w:rsidRDefault="003C434E" w:rsidP="00394400">
      <w:pPr>
        <w:pStyle w:val="Listenabsatz"/>
        <w:numPr>
          <w:ilvl w:val="0"/>
          <w:numId w:val="1"/>
        </w:numPr>
        <w:spacing w:line="276" w:lineRule="auto"/>
        <w:ind w:left="714" w:hanging="357"/>
      </w:pPr>
      <w:r>
        <w:t>Customization gilt als neue Treue</w:t>
      </w:r>
    </w:p>
    <w:p w:rsidR="00E71C5B" w:rsidRDefault="00E71C5B" w:rsidP="00E71C5B">
      <w:pPr>
        <w:pStyle w:val="Listenabsatz"/>
        <w:spacing w:line="276" w:lineRule="auto"/>
        <w:ind w:left="714"/>
      </w:pPr>
      <w:r>
        <w:t>Zufriedene Kunden werden zu Wiederkäufern</w:t>
      </w:r>
    </w:p>
    <w:p w:rsidR="003C434E" w:rsidRDefault="003C434E" w:rsidP="00394400">
      <w:pPr>
        <w:pStyle w:val="Listenabsatz"/>
        <w:numPr>
          <w:ilvl w:val="0"/>
          <w:numId w:val="1"/>
        </w:numPr>
        <w:spacing w:line="276" w:lineRule="auto"/>
        <w:ind w:left="714" w:hanging="357"/>
      </w:pPr>
      <w:r>
        <w:t>Kun</w:t>
      </w:r>
      <w:r w:rsidR="00E71C5B">
        <w:t>den brauchen eine Orientierung</w:t>
      </w:r>
    </w:p>
    <w:p w:rsidR="00E71C5B" w:rsidRPr="003C434E" w:rsidRDefault="00E71C5B" w:rsidP="00E71C5B">
      <w:pPr>
        <w:pStyle w:val="Listenabsatz"/>
        <w:spacing w:line="276" w:lineRule="auto"/>
        <w:ind w:left="714"/>
      </w:pPr>
      <w:r>
        <w:t>Design-vorlagen gelten als Hilfsmittel</w:t>
      </w:r>
    </w:p>
    <w:sectPr w:rsidR="00E71C5B" w:rsidRPr="003C434E" w:rsidSect="002D5AFE">
      <w:headerReference w:type="default" r:id="rId8"/>
      <w:footerReference w:type="default" r:id="rId9"/>
      <w:pgSz w:w="11906" w:h="16838"/>
      <w:pgMar w:top="1417" w:right="1417" w:bottom="1134" w:left="1417"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3A" w:rsidRDefault="0022083A" w:rsidP="003C434E">
      <w:pPr>
        <w:spacing w:line="240" w:lineRule="auto"/>
      </w:pPr>
      <w:r>
        <w:separator/>
      </w:r>
    </w:p>
  </w:endnote>
  <w:endnote w:type="continuationSeparator" w:id="0">
    <w:p w:rsidR="0022083A" w:rsidRDefault="0022083A" w:rsidP="003C4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123256"/>
      <w:docPartObj>
        <w:docPartGallery w:val="Page Numbers (Bottom of Page)"/>
        <w:docPartUnique/>
      </w:docPartObj>
    </w:sdtPr>
    <w:sdtEndPr/>
    <w:sdtContent>
      <w:p w:rsidR="002D5AFE" w:rsidRPr="002D5AFE" w:rsidRDefault="002D5AFE" w:rsidP="002D5AFE">
        <w:pPr>
          <w:pStyle w:val="Fuzeile"/>
          <w:jc w:val="center"/>
          <w:rPr>
            <w:sz w:val="20"/>
          </w:rPr>
        </w:pPr>
        <w:r w:rsidRPr="002D5AFE">
          <w:rPr>
            <w:sz w:val="20"/>
          </w:rPr>
          <w:t>Supply Chain Management – miadidas</w:t>
        </w:r>
      </w:p>
      <w:p w:rsidR="003C434E" w:rsidRPr="002D5AFE" w:rsidRDefault="002D5AFE" w:rsidP="002D5AFE">
        <w:pPr>
          <w:pStyle w:val="Fuzeile"/>
          <w:jc w:val="center"/>
          <w:rPr>
            <w:sz w:val="18"/>
          </w:rPr>
        </w:pPr>
        <w:r w:rsidRPr="002D5AFE">
          <w:rPr>
            <w:sz w:val="20"/>
          </w:rPr>
          <w:t>Niklas Orecic, Jennifer Schlögl, Tobias Hiergeist, Christoph Hollenbach, Simon Kempf</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3A" w:rsidRDefault="0022083A" w:rsidP="003C434E">
      <w:pPr>
        <w:spacing w:line="240" w:lineRule="auto"/>
      </w:pPr>
      <w:r>
        <w:separator/>
      </w:r>
    </w:p>
  </w:footnote>
  <w:footnote w:type="continuationSeparator" w:id="0">
    <w:p w:rsidR="0022083A" w:rsidRDefault="0022083A" w:rsidP="003C43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77648756"/>
      <w:docPartObj>
        <w:docPartGallery w:val="Page Numbers (Top of Page)"/>
        <w:docPartUnique/>
      </w:docPartObj>
    </w:sdtPr>
    <w:sdtEndPr/>
    <w:sdtContent>
      <w:p w:rsidR="002D5AFE" w:rsidRPr="002D5AFE" w:rsidRDefault="002D5AFE">
        <w:pPr>
          <w:pStyle w:val="Kopfzeile"/>
          <w:jc w:val="right"/>
          <w:rPr>
            <w:sz w:val="20"/>
          </w:rPr>
        </w:pPr>
        <w:r w:rsidRPr="002D5AFE">
          <w:rPr>
            <w:sz w:val="20"/>
            <w:lang w:val="de-DE"/>
          </w:rPr>
          <w:t xml:space="preserve">Seite </w:t>
        </w:r>
        <w:r w:rsidRPr="002D5AFE">
          <w:rPr>
            <w:b/>
            <w:bCs/>
            <w:sz w:val="20"/>
            <w:szCs w:val="24"/>
          </w:rPr>
          <w:fldChar w:fldCharType="begin"/>
        </w:r>
        <w:r w:rsidRPr="002D5AFE">
          <w:rPr>
            <w:b/>
            <w:bCs/>
            <w:sz w:val="20"/>
          </w:rPr>
          <w:instrText>PAGE</w:instrText>
        </w:r>
        <w:r w:rsidRPr="002D5AFE">
          <w:rPr>
            <w:b/>
            <w:bCs/>
            <w:sz w:val="20"/>
            <w:szCs w:val="24"/>
          </w:rPr>
          <w:fldChar w:fldCharType="separate"/>
        </w:r>
        <w:r w:rsidR="00472F05">
          <w:rPr>
            <w:b/>
            <w:bCs/>
            <w:noProof/>
            <w:sz w:val="20"/>
          </w:rPr>
          <w:t>1</w:t>
        </w:r>
        <w:r w:rsidRPr="002D5AFE">
          <w:rPr>
            <w:b/>
            <w:bCs/>
            <w:sz w:val="20"/>
            <w:szCs w:val="24"/>
          </w:rPr>
          <w:fldChar w:fldCharType="end"/>
        </w:r>
        <w:r w:rsidRPr="002D5AFE">
          <w:rPr>
            <w:sz w:val="20"/>
            <w:lang w:val="de-DE"/>
          </w:rPr>
          <w:t xml:space="preserve"> von </w:t>
        </w:r>
        <w:r w:rsidRPr="002D5AFE">
          <w:rPr>
            <w:b/>
            <w:bCs/>
            <w:sz w:val="20"/>
            <w:szCs w:val="24"/>
          </w:rPr>
          <w:fldChar w:fldCharType="begin"/>
        </w:r>
        <w:r w:rsidRPr="002D5AFE">
          <w:rPr>
            <w:b/>
            <w:bCs/>
            <w:sz w:val="20"/>
          </w:rPr>
          <w:instrText>NUMPAGES</w:instrText>
        </w:r>
        <w:r w:rsidRPr="002D5AFE">
          <w:rPr>
            <w:b/>
            <w:bCs/>
            <w:sz w:val="20"/>
            <w:szCs w:val="24"/>
          </w:rPr>
          <w:fldChar w:fldCharType="separate"/>
        </w:r>
        <w:r w:rsidR="00472F05">
          <w:rPr>
            <w:b/>
            <w:bCs/>
            <w:noProof/>
            <w:sz w:val="20"/>
          </w:rPr>
          <w:t>3</w:t>
        </w:r>
        <w:r w:rsidRPr="002D5AFE">
          <w:rPr>
            <w:b/>
            <w:bCs/>
            <w:sz w:val="20"/>
            <w:szCs w:val="24"/>
          </w:rPr>
          <w:fldChar w:fldCharType="end"/>
        </w:r>
      </w:p>
    </w:sdtContent>
  </w:sdt>
  <w:p w:rsidR="002D5AFE" w:rsidRDefault="002D5A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79C"/>
    <w:multiLevelType w:val="hybridMultilevel"/>
    <w:tmpl w:val="42AE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22A02"/>
    <w:multiLevelType w:val="hybridMultilevel"/>
    <w:tmpl w:val="7264D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907F28"/>
    <w:multiLevelType w:val="hybridMultilevel"/>
    <w:tmpl w:val="E1D2B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2B6352"/>
    <w:multiLevelType w:val="hybridMultilevel"/>
    <w:tmpl w:val="B09285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4E"/>
    <w:rsid w:val="000A225E"/>
    <w:rsid w:val="00215B3E"/>
    <w:rsid w:val="0022083A"/>
    <w:rsid w:val="002D5AFE"/>
    <w:rsid w:val="002F0860"/>
    <w:rsid w:val="00354A3A"/>
    <w:rsid w:val="0036068B"/>
    <w:rsid w:val="00394400"/>
    <w:rsid w:val="003C434E"/>
    <w:rsid w:val="00472F05"/>
    <w:rsid w:val="004D69C1"/>
    <w:rsid w:val="005D5EA3"/>
    <w:rsid w:val="009B6E51"/>
    <w:rsid w:val="00C06483"/>
    <w:rsid w:val="00CA32ED"/>
    <w:rsid w:val="00CF3D82"/>
    <w:rsid w:val="00D41A25"/>
    <w:rsid w:val="00E71C5B"/>
    <w:rsid w:val="00EF564C"/>
    <w:rsid w:val="00F424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D2620-8879-4372-AC7A-BBCF8D2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43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C434E"/>
  </w:style>
  <w:style w:type="paragraph" w:styleId="Fuzeile">
    <w:name w:val="footer"/>
    <w:basedOn w:val="Standard"/>
    <w:link w:val="FuzeileZchn"/>
    <w:uiPriority w:val="99"/>
    <w:unhideWhenUsed/>
    <w:rsid w:val="003C43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C434E"/>
  </w:style>
  <w:style w:type="paragraph" w:styleId="Listenabsatz">
    <w:name w:val="List Paragraph"/>
    <w:basedOn w:val="Standard"/>
    <w:uiPriority w:val="34"/>
    <w:qFormat/>
    <w:rsid w:val="003C434E"/>
    <w:pPr>
      <w:ind w:left="720"/>
      <w:contextualSpacing/>
    </w:pPr>
  </w:style>
  <w:style w:type="character" w:styleId="Hyperlink">
    <w:name w:val="Hyperlink"/>
    <w:basedOn w:val="Absatz-Standardschriftart"/>
    <w:uiPriority w:val="99"/>
    <w:semiHidden/>
    <w:unhideWhenUsed/>
    <w:rsid w:val="00D41A25"/>
    <w:rPr>
      <w:color w:val="0000FF"/>
      <w:u w:val="single"/>
    </w:rPr>
  </w:style>
  <w:style w:type="table" w:styleId="MittlereSchattierung2">
    <w:name w:val="Medium Shading 2"/>
    <w:basedOn w:val="NormaleTabelle"/>
    <w:uiPriority w:val="64"/>
    <w:rsid w:val="004D69C1"/>
    <w:pPr>
      <w:spacing w:line="240" w:lineRule="auto"/>
    </w:pPr>
    <w:rPr>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4D69C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andardWeb">
    <w:name w:val="Normal (Web)"/>
    <w:basedOn w:val="Standard"/>
    <w:uiPriority w:val="99"/>
    <w:semiHidden/>
    <w:unhideWhenUsed/>
    <w:rsid w:val="00CA32ED"/>
    <w:pPr>
      <w:spacing w:before="100" w:beforeAutospacing="1" w:after="100" w:afterAutospacing="1" w:line="240" w:lineRule="auto"/>
    </w:pPr>
    <w:rPr>
      <w:rFonts w:ascii="Times New Roman" w:eastAsia="Times New Roman" w:hAnsi="Times New Roman" w:cs="Times New Roman"/>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786C-3C03-4CF1-BBC3-9236BF7D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DHBW</dc:creator>
  <cp:lastModifiedBy>Orecic, Niklas</cp:lastModifiedBy>
  <cp:revision>11</cp:revision>
  <cp:lastPrinted>2015-06-10T18:26:00Z</cp:lastPrinted>
  <dcterms:created xsi:type="dcterms:W3CDTF">2015-06-09T14:17:00Z</dcterms:created>
  <dcterms:modified xsi:type="dcterms:W3CDTF">2015-06-11T08:30:00Z</dcterms:modified>
</cp:coreProperties>
</file>